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F11A" w14:textId="77777777" w:rsidR="00C30886" w:rsidRDefault="00C30886" w:rsidP="00C30886">
      <w:pPr>
        <w:rPr>
          <w:b/>
          <w:bCs/>
        </w:rPr>
      </w:pPr>
      <w:r w:rsidRPr="00C30886">
        <w:rPr>
          <w:b/>
          <w:bCs/>
        </w:rPr>
        <w:t xml:space="preserve">When can I cancel my conditional Sale and Purchase Agreement? </w:t>
      </w:r>
    </w:p>
    <w:p w14:paraId="0630B5A6" w14:textId="77777777" w:rsidR="00C30886" w:rsidRPr="00C30886" w:rsidRDefault="00C30886" w:rsidP="00C30886">
      <w:pPr>
        <w:rPr>
          <w:b/>
          <w:bCs/>
        </w:rPr>
      </w:pPr>
    </w:p>
    <w:p w14:paraId="576B8BE2" w14:textId="72DF53B2" w:rsidR="00C30886" w:rsidRDefault="00C30886" w:rsidP="00C30886">
      <w:r>
        <w:t xml:space="preserve">The recent Supreme Court decision of </w:t>
      </w:r>
      <w:r w:rsidRPr="001F1825">
        <w:rPr>
          <w:i/>
          <w:iCs/>
        </w:rPr>
        <w:t xml:space="preserve">Melco Property Holdings (NZ) 2012 Ltd v </w:t>
      </w:r>
      <w:proofErr w:type="gramStart"/>
      <w:r w:rsidRPr="001F1825">
        <w:rPr>
          <w:i/>
          <w:iCs/>
        </w:rPr>
        <w:t>Hall</w:t>
      </w:r>
      <w:r w:rsidR="001F1825">
        <w:t>(</w:t>
      </w:r>
      <w:proofErr w:type="gramEnd"/>
      <w:r>
        <w:t>1</w:t>
      </w:r>
      <w:r w:rsidR="001F1825">
        <w:t>)</w:t>
      </w:r>
      <w:r>
        <w:t xml:space="preserve"> has </w:t>
      </w:r>
    </w:p>
    <w:p w14:paraId="53E23EA8" w14:textId="5B17D976" w:rsidR="00C30886" w:rsidRDefault="00C30886" w:rsidP="00C30886">
      <w:r>
        <w:t xml:space="preserve">provided helpful guidance on the circumstances in which a party may </w:t>
      </w:r>
      <w:proofErr w:type="gramStart"/>
      <w:r>
        <w:t>cancel</w:t>
      </w:r>
      <w:r w:rsidR="001F1825">
        <w:t>(</w:t>
      </w:r>
      <w:proofErr w:type="gramEnd"/>
      <w:r>
        <w:t>2</w:t>
      </w:r>
      <w:r w:rsidR="001F1825">
        <w:t>)</w:t>
      </w:r>
      <w:r>
        <w:t xml:space="preserve"> a contract for </w:t>
      </w:r>
    </w:p>
    <w:p w14:paraId="298A9FE7" w14:textId="77777777" w:rsidR="00C30886" w:rsidRDefault="00C30886" w:rsidP="00C30886">
      <w:r>
        <w:t xml:space="preserve">non-fulfilment of a condition. </w:t>
      </w:r>
    </w:p>
    <w:p w14:paraId="4B3B1D44" w14:textId="77777777" w:rsidR="00C30886" w:rsidRDefault="00C30886" w:rsidP="00C30886"/>
    <w:p w14:paraId="462537D6" w14:textId="77777777" w:rsidR="00C30886" w:rsidRPr="00C30886" w:rsidRDefault="00C30886" w:rsidP="00C30886">
      <w:pPr>
        <w:rPr>
          <w:b/>
          <w:bCs/>
        </w:rPr>
      </w:pPr>
      <w:r w:rsidRPr="00C30886">
        <w:rPr>
          <w:b/>
          <w:bCs/>
        </w:rPr>
        <w:t>The facts</w:t>
      </w:r>
    </w:p>
    <w:p w14:paraId="1CDBDB32" w14:textId="77777777" w:rsidR="00C30886" w:rsidRDefault="00C30886" w:rsidP="00C30886">
      <w:r>
        <w:t>Mr Hall agreed to sell Melco Property Holdings (NZ) 2012 Limited (</w:t>
      </w:r>
      <w:r w:rsidRPr="001F1825">
        <w:rPr>
          <w:b/>
          <w:bCs/>
        </w:rPr>
        <w:t>Melco</w:t>
      </w:r>
      <w:r>
        <w:t xml:space="preserve">) a commercial </w:t>
      </w:r>
    </w:p>
    <w:p w14:paraId="3974C776" w14:textId="77777777" w:rsidR="00C30886" w:rsidRDefault="00C30886" w:rsidP="00C30886">
      <w:r>
        <w:t xml:space="preserve">property in Lower Hutt (the </w:t>
      </w:r>
      <w:r w:rsidRPr="001F1825">
        <w:rPr>
          <w:b/>
          <w:bCs/>
        </w:rPr>
        <w:t>Property</w:t>
      </w:r>
      <w:r>
        <w:t xml:space="preserve">). The Sale and Purchase Agreement included a due </w:t>
      </w:r>
    </w:p>
    <w:p w14:paraId="5014B97B" w14:textId="77777777" w:rsidR="00C30886" w:rsidRDefault="00C30886" w:rsidP="00C30886">
      <w:r>
        <w:t xml:space="preserve">diligence condition for the benefit of Melco which was due for confirmation by 9 January </w:t>
      </w:r>
    </w:p>
    <w:p w14:paraId="461C85B1" w14:textId="77777777" w:rsidR="00C30886" w:rsidRDefault="00C30886" w:rsidP="00C30886">
      <w:r>
        <w:t xml:space="preserve">2020. </w:t>
      </w:r>
    </w:p>
    <w:p w14:paraId="4F41A141" w14:textId="77777777" w:rsidR="00C30886" w:rsidRDefault="00C30886" w:rsidP="00C30886">
      <w:r>
        <w:t xml:space="preserve">Melco wanted to obtain a seismic assessment for the Property and arranged with Mr Hall to </w:t>
      </w:r>
    </w:p>
    <w:p w14:paraId="23D41F2B" w14:textId="77777777" w:rsidR="00C30886" w:rsidRDefault="00C30886" w:rsidP="00C30886">
      <w:r>
        <w:t xml:space="preserve">access the property on 8 January 2020 for that purpose. However, at the last-minute Mr </w:t>
      </w:r>
    </w:p>
    <w:p w14:paraId="1BBC8552" w14:textId="77777777" w:rsidR="00C30886" w:rsidRDefault="00C30886" w:rsidP="00C30886">
      <w:r>
        <w:t xml:space="preserve">Hall advised that he was unavailable to facilitate access that day. </w:t>
      </w:r>
    </w:p>
    <w:p w14:paraId="2A536652" w14:textId="77777777" w:rsidR="00C30886" w:rsidRDefault="00C30886" w:rsidP="00C30886">
      <w:r>
        <w:t xml:space="preserve">Melco then asked Mr Hall for an extension of time to the due diligence condition. Mr Hall </w:t>
      </w:r>
    </w:p>
    <w:p w14:paraId="5C890EDC" w14:textId="77777777" w:rsidR="00C30886" w:rsidRDefault="00C30886" w:rsidP="00C30886">
      <w:r>
        <w:t>advised that he would discuss the request with his lawyer after the New Year.</w:t>
      </w:r>
    </w:p>
    <w:p w14:paraId="110BFB2C" w14:textId="77777777" w:rsidR="00C30886" w:rsidRDefault="00C30886" w:rsidP="00C30886">
      <w:r>
        <w:t xml:space="preserve">Mr Hall ignored further requests by Melco for an extension and by the due date for </w:t>
      </w:r>
    </w:p>
    <w:p w14:paraId="13AF7405" w14:textId="77777777" w:rsidR="00C30886" w:rsidRDefault="00C30886" w:rsidP="00C30886">
      <w:r>
        <w:t xml:space="preserve">fulfilment Melco had neither confirmed nor waived the due diligence condition. Mr Hall </w:t>
      </w:r>
    </w:p>
    <w:p w14:paraId="4D029DA9" w14:textId="77777777" w:rsidR="00C30886" w:rsidRDefault="00C30886" w:rsidP="00C30886">
      <w:r>
        <w:t xml:space="preserve">purported to cancel the agreement </w:t>
      </w:r>
      <w:proofErr w:type="gramStart"/>
      <w:r>
        <w:t>on the basis of</w:t>
      </w:r>
      <w:proofErr w:type="gramEnd"/>
      <w:r>
        <w:t xml:space="preserve"> Melco’s failure to confirm the due </w:t>
      </w:r>
    </w:p>
    <w:p w14:paraId="78673EEC" w14:textId="77777777" w:rsidR="00C30886" w:rsidRDefault="00C30886" w:rsidP="00C30886">
      <w:r>
        <w:t xml:space="preserve">diligence condition. </w:t>
      </w:r>
    </w:p>
    <w:p w14:paraId="2BE5DE78" w14:textId="77777777" w:rsidR="00C30886" w:rsidRDefault="00C30886" w:rsidP="00C30886">
      <w:r>
        <w:t xml:space="preserve">Melco did not accept Mr Hall’s cancellation and contended that it was invalid as he had </w:t>
      </w:r>
    </w:p>
    <w:p w14:paraId="2C946974" w14:textId="77777777" w:rsidR="00C30886" w:rsidRDefault="00C30886" w:rsidP="00C30886">
      <w:r>
        <w:t xml:space="preserve">failed to facilitate access to the Property. </w:t>
      </w:r>
    </w:p>
    <w:p w14:paraId="549E4209" w14:textId="77777777" w:rsidR="00C30886" w:rsidRDefault="00C30886" w:rsidP="00C30886">
      <w:r>
        <w:t xml:space="preserve">Melco lodged a caveat against the title to the Property to protect its claimed interest under </w:t>
      </w:r>
    </w:p>
    <w:p w14:paraId="56582444" w14:textId="77777777" w:rsidR="00C30886" w:rsidRDefault="00C30886" w:rsidP="00C30886">
      <w:r>
        <w:t xml:space="preserve">the agreement. Melco then applied to the High Court to sustain it. The critical question </w:t>
      </w:r>
    </w:p>
    <w:p w14:paraId="0E742C1C" w14:textId="77777777" w:rsidR="00C30886" w:rsidRDefault="00C30886" w:rsidP="00C30886">
      <w:r>
        <w:t xml:space="preserve">before the courts was the validity of Mr Hall’s cancellation. </w:t>
      </w:r>
    </w:p>
    <w:p w14:paraId="36C38DB0" w14:textId="77777777" w:rsidR="00C30886" w:rsidRDefault="00C30886" w:rsidP="00C30886"/>
    <w:p w14:paraId="592A7481" w14:textId="77777777" w:rsidR="00C30886" w:rsidRDefault="00C30886" w:rsidP="00C30886"/>
    <w:p w14:paraId="50FB791D" w14:textId="77777777" w:rsidR="00C30886" w:rsidRDefault="00C30886" w:rsidP="00C30886"/>
    <w:p w14:paraId="19CCD4C3" w14:textId="77777777" w:rsidR="00C30886" w:rsidRDefault="00C30886" w:rsidP="00C30886">
      <w:r w:rsidRPr="00C30886">
        <w:t xml:space="preserve">1 </w:t>
      </w:r>
      <w:r w:rsidRPr="00C30886">
        <w:rPr>
          <w:i/>
          <w:iCs/>
        </w:rPr>
        <w:t>Melco Property Holdings (NZ) 2012 Ltd v Hall</w:t>
      </w:r>
      <w:r>
        <w:t xml:space="preserve"> [2022] 1 NZLR 59; [2022] NZSC 60.</w:t>
      </w:r>
    </w:p>
    <w:p w14:paraId="620B0538" w14:textId="77777777" w:rsidR="00C30886" w:rsidRDefault="00C30886" w:rsidP="00C30886">
      <w:r>
        <w:t xml:space="preserve">2 The parties used the term cancel but in </w:t>
      </w:r>
      <w:proofErr w:type="gramStart"/>
      <w:r>
        <w:t>reality</w:t>
      </w:r>
      <w:proofErr w:type="gramEnd"/>
      <w:r>
        <w:t xml:space="preserve"> meant void. For ease of reference in this </w:t>
      </w:r>
    </w:p>
    <w:p w14:paraId="5BD42104" w14:textId="77777777" w:rsidR="00C30886" w:rsidRDefault="00C30886" w:rsidP="00C30886">
      <w:r>
        <w:t>article we used the better-known term cancellation.</w:t>
      </w:r>
    </w:p>
    <w:p w14:paraId="740370F7" w14:textId="77777777" w:rsidR="00C30886" w:rsidRPr="00C30886" w:rsidRDefault="00C30886" w:rsidP="00C30886">
      <w:pPr>
        <w:rPr>
          <w:b/>
          <w:bCs/>
        </w:rPr>
      </w:pPr>
      <w:r w:rsidRPr="00C30886">
        <w:rPr>
          <w:b/>
          <w:bCs/>
        </w:rPr>
        <w:lastRenderedPageBreak/>
        <w:t>The High Court and Court of Appeal</w:t>
      </w:r>
    </w:p>
    <w:p w14:paraId="43119DC1" w14:textId="77777777" w:rsidR="00C30886" w:rsidRDefault="00C30886" w:rsidP="00C30886">
      <w:r>
        <w:t xml:space="preserve">The High Court held that it was reasonably arguable that Mr Hall had a duty to facilitate </w:t>
      </w:r>
    </w:p>
    <w:p w14:paraId="15DDCFDB" w14:textId="77777777" w:rsidR="00C30886" w:rsidRDefault="00C30886" w:rsidP="00C30886">
      <w:r>
        <w:t xml:space="preserve">access to the property so that Melco’s engineer could inspect the Property. </w:t>
      </w:r>
    </w:p>
    <w:p w14:paraId="797BB6C2" w14:textId="77777777" w:rsidR="00C30886" w:rsidRDefault="00C30886" w:rsidP="00C30886">
      <w:r>
        <w:t xml:space="preserve">However, the Court ultimately determined that there was no link between Mr Hall’s failure </w:t>
      </w:r>
    </w:p>
    <w:p w14:paraId="1A1F2524" w14:textId="77777777" w:rsidR="00C30886" w:rsidRDefault="00C30886" w:rsidP="00C30886">
      <w:r>
        <w:t>to facilitate access to the Property and Melco’s failure to satisfy the due diligence condition</w:t>
      </w:r>
    </w:p>
    <w:p w14:paraId="37E0A8E0" w14:textId="77777777" w:rsidR="00C30886" w:rsidRDefault="00C30886" w:rsidP="00C30886">
      <w:r>
        <w:t>because:</w:t>
      </w:r>
    </w:p>
    <w:p w14:paraId="40BB6833" w14:textId="77777777" w:rsidR="00C30886" w:rsidRDefault="00C30886" w:rsidP="00C30886">
      <w:r>
        <w:t>a) Melco could have waived the due diligence condition and confirmed the Agreement</w:t>
      </w:r>
    </w:p>
    <w:p w14:paraId="709949A9" w14:textId="77777777" w:rsidR="00C30886" w:rsidRDefault="00C30886" w:rsidP="00C30886">
      <w:r>
        <w:t xml:space="preserve">without a seismic report therefore the ability to waive the condition was not </w:t>
      </w:r>
    </w:p>
    <w:p w14:paraId="43ABD021" w14:textId="77777777" w:rsidR="00C30886" w:rsidRDefault="00C30886" w:rsidP="00C30886">
      <w:r>
        <w:t xml:space="preserve">affected by Mr Hall’s actions. </w:t>
      </w:r>
    </w:p>
    <w:p w14:paraId="315C6605" w14:textId="77777777" w:rsidR="00C30886" w:rsidRDefault="00C30886" w:rsidP="00C30886">
      <w:r>
        <w:t xml:space="preserve">b) Even if Melco had access to the Property on 8 January 2020, there was no guarantee </w:t>
      </w:r>
    </w:p>
    <w:p w14:paraId="40C29419" w14:textId="77777777" w:rsidR="00C30886" w:rsidRDefault="00C30886" w:rsidP="00C30886">
      <w:r>
        <w:t xml:space="preserve">that a seismic report could be produced before 9 January 2020 (being the date for </w:t>
      </w:r>
    </w:p>
    <w:p w14:paraId="03B86B76" w14:textId="77777777" w:rsidR="00C30886" w:rsidRDefault="00C30886" w:rsidP="00C30886">
      <w:r>
        <w:t>confirmation).</w:t>
      </w:r>
    </w:p>
    <w:p w14:paraId="54FF4251" w14:textId="77777777" w:rsidR="00C30886" w:rsidRDefault="00C30886" w:rsidP="00C30886">
      <w:r>
        <w:t>c) Mr Hall was not obliged to grant an extension or respond to Melco’s request.</w:t>
      </w:r>
    </w:p>
    <w:p w14:paraId="5F9FFCF5" w14:textId="77777777" w:rsidR="00C30886" w:rsidRDefault="00C30886" w:rsidP="00C30886">
      <w:r>
        <w:t xml:space="preserve">The Court of Appeal agreed with the High Court’s analysis and dismissed Melco’s appeal. </w:t>
      </w:r>
    </w:p>
    <w:p w14:paraId="6990822B" w14:textId="77777777" w:rsidR="00C30886" w:rsidRDefault="00C30886" w:rsidP="00C30886"/>
    <w:p w14:paraId="17B8338D" w14:textId="77777777" w:rsidR="00C30886" w:rsidRPr="00C30886" w:rsidRDefault="00C30886" w:rsidP="00C30886">
      <w:pPr>
        <w:rPr>
          <w:b/>
          <w:bCs/>
        </w:rPr>
      </w:pPr>
      <w:r w:rsidRPr="00C30886">
        <w:rPr>
          <w:b/>
          <w:bCs/>
        </w:rPr>
        <w:t xml:space="preserve">The Supreme Court </w:t>
      </w:r>
    </w:p>
    <w:p w14:paraId="109E54F5" w14:textId="77777777" w:rsidR="00C30886" w:rsidRDefault="00C30886" w:rsidP="00C30886">
      <w:r>
        <w:t xml:space="preserve">The Supreme Court analysed the leading Australian and New Zealand case law on the extent </w:t>
      </w:r>
    </w:p>
    <w:p w14:paraId="252DFF57" w14:textId="77777777" w:rsidR="00C30886" w:rsidRDefault="00C30886" w:rsidP="00C30886">
      <w:r>
        <w:t xml:space="preserve">to which a party can cancel a contract for non-performance of a condition when that party </w:t>
      </w:r>
    </w:p>
    <w:p w14:paraId="70A97941" w14:textId="77777777" w:rsidR="00C30886" w:rsidRDefault="00C30886" w:rsidP="00C30886">
      <w:r>
        <w:t xml:space="preserve">contributed to the non-fulfilment. </w:t>
      </w:r>
    </w:p>
    <w:p w14:paraId="309DABD9" w14:textId="77777777" w:rsidR="00C30886" w:rsidRDefault="00C30886" w:rsidP="00C30886">
      <w:r>
        <w:t xml:space="preserve">The Court concluded that while both parties had contributed to the non-fulfilment in this </w:t>
      </w:r>
    </w:p>
    <w:p w14:paraId="2BD679C7" w14:textId="63D19691" w:rsidR="00C30886" w:rsidRDefault="00C30886" w:rsidP="00C30886">
      <w:r>
        <w:t>instance, the applicable test was whether Mr Hall had “materially contributed” to the non</w:t>
      </w:r>
      <w:r>
        <w:t>-</w:t>
      </w:r>
      <w:r>
        <w:t xml:space="preserve">fulfilment. </w:t>
      </w:r>
    </w:p>
    <w:p w14:paraId="5E0A87E1" w14:textId="77777777" w:rsidR="00C30886" w:rsidRDefault="00C30886" w:rsidP="00C30886">
      <w:r>
        <w:t xml:space="preserve">The Court considered that Mr Hall’s failure to provide access to the Property on 8 January </w:t>
      </w:r>
    </w:p>
    <w:p w14:paraId="550BB29B" w14:textId="77777777" w:rsidR="00C30886" w:rsidRDefault="00C30886" w:rsidP="00C30886">
      <w:r>
        <w:t xml:space="preserve">2020 did materially contribute to the failure to fulfil the due diligence condition. The Court </w:t>
      </w:r>
    </w:p>
    <w:p w14:paraId="3CCFC56B" w14:textId="77777777" w:rsidR="00C30886" w:rsidRDefault="00C30886" w:rsidP="00C30886">
      <w:r>
        <w:t xml:space="preserve">ordered that the caveat should not lapse and that the case is to proceed to a full trial. </w:t>
      </w:r>
    </w:p>
    <w:p w14:paraId="1DFAE35E" w14:textId="77777777" w:rsidR="00C30886" w:rsidRDefault="00C30886" w:rsidP="00C30886"/>
    <w:p w14:paraId="09D55CF0" w14:textId="77777777" w:rsidR="00C30886" w:rsidRPr="00C30886" w:rsidRDefault="00C30886" w:rsidP="00C30886">
      <w:pPr>
        <w:rPr>
          <w:b/>
          <w:bCs/>
        </w:rPr>
      </w:pPr>
      <w:r w:rsidRPr="00C30886">
        <w:rPr>
          <w:b/>
          <w:bCs/>
        </w:rPr>
        <w:t>Key takeaway</w:t>
      </w:r>
    </w:p>
    <w:p w14:paraId="595B061A" w14:textId="77777777" w:rsidR="00C30886" w:rsidRDefault="00C30886" w:rsidP="00C30886">
      <w:r w:rsidRPr="00C30886">
        <w:rPr>
          <w:i/>
          <w:iCs/>
        </w:rPr>
        <w:t>Melco</w:t>
      </w:r>
      <w:r>
        <w:t xml:space="preserve"> highlights the risks of seeking to cancel a contract for non-fulfilment of a condition</w:t>
      </w:r>
    </w:p>
    <w:p w14:paraId="14060604" w14:textId="77777777" w:rsidR="00C30886" w:rsidRDefault="00C30886" w:rsidP="00C30886">
      <w:r>
        <w:t xml:space="preserve">where the cancelling party may have contributed to the situation which is the basis for its </w:t>
      </w:r>
    </w:p>
    <w:p w14:paraId="46217084" w14:textId="77777777" w:rsidR="00C30886" w:rsidRDefault="00C30886" w:rsidP="00C30886">
      <w:r>
        <w:t xml:space="preserve">cancelation. </w:t>
      </w:r>
    </w:p>
    <w:p w14:paraId="0BE6401D" w14:textId="77777777" w:rsidR="00C30886" w:rsidRDefault="00C30886" w:rsidP="00C30886">
      <w:r>
        <w:t xml:space="preserve">For example, where a sale and purchase agreement </w:t>
      </w:r>
      <w:proofErr w:type="gramStart"/>
      <w:r>
        <w:t>is</w:t>
      </w:r>
      <w:proofErr w:type="gramEnd"/>
      <w:r>
        <w:t xml:space="preserve"> conditional upon the purchaser</w:t>
      </w:r>
    </w:p>
    <w:p w14:paraId="1B3648F1" w14:textId="77777777" w:rsidR="00C30886" w:rsidRDefault="00C30886" w:rsidP="00C30886">
      <w:r>
        <w:lastRenderedPageBreak/>
        <w:t xml:space="preserve">obtained a building report, it would now appear unlikely that a vendor could cancel a </w:t>
      </w:r>
    </w:p>
    <w:p w14:paraId="0C990611" w14:textId="77777777" w:rsidR="00C30886" w:rsidRDefault="00C30886" w:rsidP="00C30886">
      <w:r>
        <w:t xml:space="preserve">contract for non-fulfilment of that condition if it refused to provide the purchaser access to </w:t>
      </w:r>
    </w:p>
    <w:p w14:paraId="658A7CB6" w14:textId="77777777" w:rsidR="00C30886" w:rsidRDefault="00C30886" w:rsidP="00C30886">
      <w:r>
        <w:t xml:space="preserve">the property for that purpose. </w:t>
      </w:r>
    </w:p>
    <w:p w14:paraId="18AA7D19" w14:textId="77777777" w:rsidR="00C30886" w:rsidRDefault="00C30886" w:rsidP="00C30886"/>
    <w:p w14:paraId="40E87870" w14:textId="1B1D950A" w:rsidR="00C30886" w:rsidRDefault="00C30886" w:rsidP="00C30886">
      <w:r>
        <w:t xml:space="preserve">Authors: </w:t>
      </w:r>
      <w:r>
        <w:t>Sam Wells and Mouhannad Taha</w:t>
      </w:r>
    </w:p>
    <w:p w14:paraId="7B01C5DA" w14:textId="41A8AB19" w:rsidR="00DF04DA" w:rsidRPr="00C30886" w:rsidRDefault="00C30886" w:rsidP="00C30886">
      <w:pPr>
        <w:rPr>
          <w:i/>
          <w:iCs/>
        </w:rPr>
      </w:pPr>
      <w:r w:rsidRPr="00C30886">
        <w:rPr>
          <w:i/>
          <w:iCs/>
        </w:rPr>
        <w:t>Disclaimer: This article is general in nature and is not to be used as a substitute for legal advice. No liability is assumed by Gallaway Cook Allan or individual solicitors at Gallaway Cook Allan regarding any person or organisation relying directly or indirectly on information published on this website. If you need help in relation to any legal matter, we recommend you see a qualified legal professional</w:t>
      </w:r>
      <w:r w:rsidRPr="00C30886">
        <w:rPr>
          <w:i/>
          <w:iCs/>
        </w:rPr>
        <w:t>.</w:t>
      </w:r>
    </w:p>
    <w:sectPr w:rsidR="00DF04DA" w:rsidRPr="00C30886" w:rsidSect="00566067">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CB56" w14:textId="77777777" w:rsidR="00C30886" w:rsidRDefault="00C30886" w:rsidP="002B0028">
      <w:pPr>
        <w:spacing w:after="0" w:line="240" w:lineRule="auto"/>
      </w:pPr>
      <w:r>
        <w:separator/>
      </w:r>
    </w:p>
  </w:endnote>
  <w:endnote w:type="continuationSeparator" w:id="0">
    <w:p w14:paraId="41A3CA3A" w14:textId="77777777" w:rsidR="00C30886" w:rsidRDefault="00C30886" w:rsidP="002B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ADCE" w14:textId="77777777" w:rsidR="00C30886" w:rsidRDefault="00C30886" w:rsidP="002B0028">
      <w:pPr>
        <w:spacing w:after="0" w:line="240" w:lineRule="auto"/>
      </w:pPr>
      <w:r>
        <w:separator/>
      </w:r>
    </w:p>
  </w:footnote>
  <w:footnote w:type="continuationSeparator" w:id="0">
    <w:p w14:paraId="5792A057" w14:textId="77777777" w:rsidR="00C30886" w:rsidRDefault="00C30886" w:rsidP="002B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C2FA" w14:textId="77777777" w:rsidR="001F1825" w:rsidRPr="009F30B6" w:rsidRDefault="001F1825" w:rsidP="00B2746E">
    <w:pPr>
      <w:jc w:val="center"/>
      <w:rPr>
        <w:lang w:val="en-US"/>
      </w:rPr>
    </w:pPr>
    <w:sdt>
      <w:sdtPr>
        <w:id w:val="-1869906043"/>
        <w:docPartObj>
          <w:docPartGallery w:val="Page Numbers (Top of Page)"/>
          <w:docPartUnique/>
        </w:docPartObj>
      </w:sdtPr>
      <w:sdtEndPr>
        <w:rPr>
          <w:noProof/>
        </w:rPr>
      </w:sdtEndPr>
      <w:sdtContent>
        <w:r w:rsidR="00C57325">
          <w:fldChar w:fldCharType="begin"/>
        </w:r>
        <w:r w:rsidR="00C57325">
          <w:instrText xml:space="preserve"> PAGE   \* MERGEFORMAT </w:instrText>
        </w:r>
        <w:r w:rsidR="00C57325">
          <w:fldChar w:fldCharType="separate"/>
        </w:r>
        <w:r w:rsidR="00C57325">
          <w:rPr>
            <w:noProof/>
          </w:rPr>
          <w:t>2</w:t>
        </w:r>
        <w:r w:rsidR="00C57325">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B6E7" w14:textId="77777777" w:rsidR="009F30B6" w:rsidRDefault="009F30B6" w:rsidP="009F30B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2CE6"/>
    <w:multiLevelType w:val="multilevel"/>
    <w:tmpl w:val="52FA92CC"/>
    <w:lvl w:ilvl="0">
      <w:start w:val="1"/>
      <w:numFmt w:val="decimal"/>
      <w:lvlRestart w:val="0"/>
      <w:pStyle w:val="Complex1"/>
      <w:lvlText w:val="%1."/>
      <w:lvlJc w:val="left"/>
      <w:pPr>
        <w:tabs>
          <w:tab w:val="num" w:pos="720"/>
        </w:tabs>
        <w:ind w:left="720" w:hanging="720"/>
      </w:pPr>
      <w:rPr>
        <w:rFonts w:ascii="Calibri" w:hAnsi="Calibri" w:hint="default"/>
        <w:b/>
        <w:i w:val="0"/>
        <w:sz w:val="22"/>
      </w:rPr>
    </w:lvl>
    <w:lvl w:ilvl="1">
      <w:start w:val="1"/>
      <w:numFmt w:val="decimal"/>
      <w:pStyle w:val="Complex2"/>
      <w:lvlText w:val="%1.%2"/>
      <w:lvlJc w:val="left"/>
      <w:pPr>
        <w:tabs>
          <w:tab w:val="num" w:pos="720"/>
        </w:tabs>
        <w:ind w:left="720" w:hanging="720"/>
      </w:pPr>
      <w:rPr>
        <w:rFonts w:ascii="Calibri" w:hAnsi="Calibri" w:hint="default"/>
        <w:b w:val="0"/>
        <w:i w:val="0"/>
        <w:sz w:val="22"/>
      </w:rPr>
    </w:lvl>
    <w:lvl w:ilvl="2">
      <w:start w:val="1"/>
      <w:numFmt w:val="lowerLetter"/>
      <w:pStyle w:val="Complex3"/>
      <w:lvlText w:val="(%3)"/>
      <w:lvlJc w:val="left"/>
      <w:pPr>
        <w:tabs>
          <w:tab w:val="num" w:pos="1440"/>
        </w:tabs>
        <w:ind w:left="1440" w:hanging="720"/>
      </w:pPr>
      <w:rPr>
        <w:rFonts w:ascii="Calibri" w:hAnsi="Calibri" w:hint="default"/>
        <w:b w:val="0"/>
        <w:i w:val="0"/>
        <w:sz w:val="22"/>
      </w:rPr>
    </w:lvl>
    <w:lvl w:ilvl="3">
      <w:start w:val="1"/>
      <w:numFmt w:val="lowerRoman"/>
      <w:pStyle w:val="Complex4"/>
      <w:lvlText w:val="(%4)"/>
      <w:lvlJc w:val="left"/>
      <w:pPr>
        <w:tabs>
          <w:tab w:val="num" w:pos="2160"/>
        </w:tabs>
        <w:ind w:left="2160" w:hanging="720"/>
      </w:pPr>
      <w:rPr>
        <w:rFonts w:ascii="Calibri" w:hAnsi="Calibri" w:hint="default"/>
        <w:b w:val="0"/>
        <w:i w:val="0"/>
        <w:sz w:val="22"/>
      </w:rPr>
    </w:lvl>
    <w:lvl w:ilvl="4">
      <w:start w:val="1"/>
      <w:numFmt w:val="upperLetter"/>
      <w:pStyle w:val="Complex5"/>
      <w:lvlText w:val="(%5)"/>
      <w:lvlJc w:val="left"/>
      <w:pPr>
        <w:tabs>
          <w:tab w:val="num" w:pos="2989"/>
        </w:tabs>
        <w:ind w:left="2989" w:hanging="720"/>
      </w:pPr>
      <w:rPr>
        <w:rFonts w:ascii="Calibri" w:hAnsi="Calibri" w:hint="default"/>
        <w:b w:val="0"/>
        <w:i w:val="0"/>
        <w:caps w:val="0"/>
        <w:strike w:val="0"/>
        <w:dstrike w:val="0"/>
        <w:vanish w:val="0"/>
        <w:sz w:val="22"/>
        <w:vertAlign w:val="baseline"/>
      </w:rPr>
    </w:lvl>
    <w:lvl w:ilvl="5">
      <w:start w:val="1"/>
      <w:numFmt w:val="none"/>
      <w:lvlText w:val=""/>
      <w:lvlJc w:val="left"/>
      <w:pPr>
        <w:tabs>
          <w:tab w:val="num" w:pos="3600"/>
        </w:tabs>
        <w:ind w:left="3600" w:hanging="720"/>
      </w:pPr>
      <w:rPr>
        <w:rFonts w:ascii="Calibri" w:hAnsi="Calibri" w:hint="default"/>
        <w:b w:val="0"/>
        <w:i w:val="0"/>
        <w:sz w:val="22"/>
      </w:rPr>
    </w:lvl>
    <w:lvl w:ilvl="6">
      <w:start w:val="1"/>
      <w:numFmt w:val="none"/>
      <w:lvlText w:val=""/>
      <w:lvlJc w:val="left"/>
      <w:pPr>
        <w:tabs>
          <w:tab w:val="num" w:pos="3237"/>
        </w:tabs>
        <w:ind w:left="3237" w:hanging="1077"/>
      </w:pPr>
      <w:rPr>
        <w:rFonts w:ascii="Gadugi" w:hAnsi="Gadugi" w:hint="default"/>
      </w:rPr>
    </w:lvl>
    <w:lvl w:ilvl="7">
      <w:start w:val="1"/>
      <w:numFmt w:val="none"/>
      <w:lvlText w:val=""/>
      <w:lvlJc w:val="left"/>
      <w:pPr>
        <w:tabs>
          <w:tab w:val="num" w:pos="3742"/>
        </w:tabs>
        <w:ind w:left="3742" w:hanging="1225"/>
      </w:pPr>
      <w:rPr>
        <w:rFonts w:ascii="Gadugi" w:hAnsi="Gadugi" w:hint="default"/>
      </w:rPr>
    </w:lvl>
    <w:lvl w:ilvl="8">
      <w:start w:val="1"/>
      <w:numFmt w:val="none"/>
      <w:lvlText w:val=""/>
      <w:lvlJc w:val="left"/>
      <w:pPr>
        <w:tabs>
          <w:tab w:val="num" w:pos="4320"/>
        </w:tabs>
        <w:ind w:left="4320" w:hanging="1440"/>
      </w:pPr>
      <w:rPr>
        <w:rFonts w:ascii="Gadugi" w:hAnsi="Gadugi" w:hint="default"/>
      </w:rPr>
    </w:lvl>
  </w:abstractNum>
  <w:abstractNum w:abstractNumId="1" w15:restartNumberingAfterBreak="0">
    <w:nsid w:val="36DB2027"/>
    <w:multiLevelType w:val="multilevel"/>
    <w:tmpl w:val="784C6642"/>
    <w:lvl w:ilvl="0">
      <w:start w:val="1"/>
      <w:numFmt w:val="upperLetter"/>
      <w:pStyle w:val="Recital1"/>
      <w:lvlText w:val="%1."/>
      <w:lvlJc w:val="left"/>
      <w:pPr>
        <w:tabs>
          <w:tab w:val="num" w:pos="720"/>
        </w:tabs>
        <w:ind w:left="720" w:hanging="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none"/>
      <w:pStyle w:val="Recital3"/>
      <w:lvlText w:val="(i)"/>
      <w:lvlJc w:val="right"/>
      <w:pPr>
        <w:tabs>
          <w:tab w:val="num" w:pos="2160"/>
        </w:tabs>
        <w:ind w:left="2160" w:hanging="72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 w15:restartNumberingAfterBreak="0">
    <w:nsid w:val="6C967D00"/>
    <w:multiLevelType w:val="multilevel"/>
    <w:tmpl w:val="F482C0B2"/>
    <w:lvl w:ilvl="0">
      <w:start w:val="1"/>
      <w:numFmt w:val="decimal"/>
      <w:pStyle w:val="Simple1"/>
      <w:lvlText w:val="%1."/>
      <w:lvlJc w:val="left"/>
      <w:pPr>
        <w:tabs>
          <w:tab w:val="num" w:pos="720"/>
        </w:tabs>
        <w:ind w:left="720" w:hanging="720"/>
      </w:pPr>
      <w:rPr>
        <w:rFonts w:hint="default"/>
      </w:rPr>
    </w:lvl>
    <w:lvl w:ilvl="1">
      <w:start w:val="1"/>
      <w:numFmt w:val="lowerLetter"/>
      <w:pStyle w:val="Simple2"/>
      <w:lvlText w:val="(%2)"/>
      <w:lvlJc w:val="left"/>
      <w:pPr>
        <w:tabs>
          <w:tab w:val="num" w:pos="1440"/>
        </w:tabs>
        <w:ind w:left="1440" w:hanging="720"/>
      </w:pPr>
      <w:rPr>
        <w:rFonts w:hint="default"/>
      </w:rPr>
    </w:lvl>
    <w:lvl w:ilvl="2">
      <w:start w:val="1"/>
      <w:numFmt w:val="lowerRoman"/>
      <w:pStyle w:val="Simple3"/>
      <w:lvlText w:val="(%3)"/>
      <w:lvlJc w:val="left"/>
      <w:pPr>
        <w:tabs>
          <w:tab w:val="num" w:pos="2160"/>
        </w:tabs>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Simple4"/>
      <w:lvlText w:val="(%4)"/>
      <w:lvlJc w:val="left"/>
      <w:pPr>
        <w:tabs>
          <w:tab w:val="num" w:pos="2880"/>
        </w:tabs>
        <w:ind w:left="2880" w:hanging="720"/>
      </w:pPr>
      <w:rPr>
        <w:rFonts w:hint="default"/>
      </w:rPr>
    </w:lvl>
    <w:lvl w:ilvl="4">
      <w:start w:val="1"/>
      <w:numFmt w:val="none"/>
      <w:lvlText w:val=""/>
      <w:lvlJc w:val="left"/>
      <w:pPr>
        <w:ind w:left="5028" w:hanging="720"/>
      </w:pPr>
      <w:rPr>
        <w:rFonts w:hint="default"/>
      </w:rPr>
    </w:lvl>
    <w:lvl w:ilvl="5">
      <w:start w:val="1"/>
      <w:numFmt w:val="none"/>
      <w:lvlText w:val=""/>
      <w:lvlJc w:val="right"/>
      <w:pPr>
        <w:ind w:left="6105" w:hanging="720"/>
      </w:pPr>
      <w:rPr>
        <w:rFonts w:hint="default"/>
      </w:rPr>
    </w:lvl>
    <w:lvl w:ilvl="6">
      <w:start w:val="1"/>
      <w:numFmt w:val="none"/>
      <w:lvlText w:val=""/>
      <w:lvlJc w:val="left"/>
      <w:pPr>
        <w:ind w:left="7182" w:hanging="720"/>
      </w:pPr>
      <w:rPr>
        <w:rFonts w:hint="default"/>
      </w:rPr>
    </w:lvl>
    <w:lvl w:ilvl="7">
      <w:start w:val="1"/>
      <w:numFmt w:val="none"/>
      <w:lvlText w:val=""/>
      <w:lvlJc w:val="left"/>
      <w:pPr>
        <w:ind w:left="8259" w:hanging="720"/>
      </w:pPr>
      <w:rPr>
        <w:rFonts w:hint="default"/>
      </w:rPr>
    </w:lvl>
    <w:lvl w:ilvl="8">
      <w:start w:val="1"/>
      <w:numFmt w:val="none"/>
      <w:lvlText w:val=""/>
      <w:lvlJc w:val="right"/>
      <w:pPr>
        <w:ind w:left="9336" w:hanging="720"/>
      </w:pPr>
      <w:rPr>
        <w:rFonts w:hint="default"/>
      </w:rPr>
    </w:lvl>
  </w:abstractNum>
  <w:num w:numId="1" w16cid:durableId="1041975240">
    <w:abstractNumId w:val="1"/>
  </w:num>
  <w:num w:numId="2" w16cid:durableId="422189136">
    <w:abstractNumId w:val="2"/>
  </w:num>
  <w:num w:numId="3" w16cid:durableId="16051113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86"/>
    <w:rsid w:val="0001044F"/>
    <w:rsid w:val="00190DDC"/>
    <w:rsid w:val="001C0C9A"/>
    <w:rsid w:val="001E1329"/>
    <w:rsid w:val="001F1825"/>
    <w:rsid w:val="00267F1F"/>
    <w:rsid w:val="002B0028"/>
    <w:rsid w:val="002B4543"/>
    <w:rsid w:val="003618CC"/>
    <w:rsid w:val="0037018D"/>
    <w:rsid w:val="003B003E"/>
    <w:rsid w:val="00414742"/>
    <w:rsid w:val="00416C50"/>
    <w:rsid w:val="0042506F"/>
    <w:rsid w:val="0043766D"/>
    <w:rsid w:val="00464034"/>
    <w:rsid w:val="004A1EF6"/>
    <w:rsid w:val="00523A95"/>
    <w:rsid w:val="00533C5B"/>
    <w:rsid w:val="005454C9"/>
    <w:rsid w:val="005A00F2"/>
    <w:rsid w:val="006432E7"/>
    <w:rsid w:val="00706A0C"/>
    <w:rsid w:val="00723DF3"/>
    <w:rsid w:val="00774EC7"/>
    <w:rsid w:val="00785157"/>
    <w:rsid w:val="008E2ABC"/>
    <w:rsid w:val="009C51C1"/>
    <w:rsid w:val="009F30B6"/>
    <w:rsid w:val="00A519AF"/>
    <w:rsid w:val="00A77412"/>
    <w:rsid w:val="00AA2E8A"/>
    <w:rsid w:val="00AA35D4"/>
    <w:rsid w:val="00AE3E97"/>
    <w:rsid w:val="00B337DF"/>
    <w:rsid w:val="00BC242D"/>
    <w:rsid w:val="00BF3A84"/>
    <w:rsid w:val="00C30886"/>
    <w:rsid w:val="00C57325"/>
    <w:rsid w:val="00CA4B85"/>
    <w:rsid w:val="00CC6559"/>
    <w:rsid w:val="00D51F8A"/>
    <w:rsid w:val="00DF04DA"/>
    <w:rsid w:val="00DF0BDA"/>
    <w:rsid w:val="00ED6DAE"/>
    <w:rsid w:val="00F77712"/>
  </w:rsids>
  <m:mathPr>
    <m:mathFont m:val="Cambria Math"/>
    <m:brkBin m:val="before"/>
    <m:brkBinSub m:val="--"/>
    <m:smallFrac m:val="0"/>
    <m:dispDef/>
    <m:lMargin m:val="0"/>
    <m:rMargin m:val="0"/>
    <m:defJc m:val="centerGroup"/>
    <m:wrapIndent m:val="1440"/>
    <m:intLim m:val="subSup"/>
    <m:naryLim m:val="undOvr"/>
  </m:mathPr>
  <w:attachedSchema w:val="urn:documentMetaData-schema"/>
  <w:attachedSchema w:val="http://schemas.accordant.co.nz/author/settlementstatement/2013/04"/>
  <w:attachedSchema w:val="http://schemas.accordant.co.nz/author/invoice/2013/04"/>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4672"/>
  <w15:chartTrackingRefBased/>
  <w15:docId w15:val="{2871A363-8525-4742-B2E5-AE74EFCD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lex1">
    <w:name w:val="Complex 1"/>
    <w:basedOn w:val="Normal"/>
    <w:qFormat/>
    <w:rsid w:val="00B337DF"/>
    <w:pPr>
      <w:keepNext/>
      <w:numPr>
        <w:numId w:val="3"/>
      </w:numPr>
    </w:pPr>
    <w:rPr>
      <w:rFonts w:cs="Arial"/>
      <w:b/>
      <w:szCs w:val="21"/>
      <w:lang w:val="en-GB"/>
    </w:rPr>
  </w:style>
  <w:style w:type="paragraph" w:customStyle="1" w:styleId="Complex2">
    <w:name w:val="Complex 2"/>
    <w:basedOn w:val="Complex1"/>
    <w:qFormat/>
    <w:rsid w:val="00B337DF"/>
    <w:pPr>
      <w:keepNext w:val="0"/>
      <w:numPr>
        <w:ilvl w:val="1"/>
      </w:numPr>
    </w:pPr>
    <w:rPr>
      <w:b w:val="0"/>
    </w:rPr>
  </w:style>
  <w:style w:type="paragraph" w:customStyle="1" w:styleId="Complex3">
    <w:name w:val="Complex 3"/>
    <w:basedOn w:val="Complex1"/>
    <w:qFormat/>
    <w:rsid w:val="00B337DF"/>
    <w:pPr>
      <w:keepNext w:val="0"/>
      <w:numPr>
        <w:ilvl w:val="2"/>
      </w:numPr>
    </w:pPr>
    <w:rPr>
      <w:b w:val="0"/>
    </w:rPr>
  </w:style>
  <w:style w:type="paragraph" w:customStyle="1" w:styleId="Complex4">
    <w:name w:val="Complex 4"/>
    <w:basedOn w:val="Complex1"/>
    <w:qFormat/>
    <w:rsid w:val="00B337DF"/>
    <w:pPr>
      <w:keepNext w:val="0"/>
      <w:numPr>
        <w:ilvl w:val="3"/>
      </w:numPr>
    </w:pPr>
    <w:rPr>
      <w:b w:val="0"/>
    </w:rPr>
  </w:style>
  <w:style w:type="paragraph" w:customStyle="1" w:styleId="Complex5">
    <w:name w:val="Complex 5"/>
    <w:basedOn w:val="Complex1"/>
    <w:qFormat/>
    <w:rsid w:val="00B337DF"/>
    <w:pPr>
      <w:keepNext w:val="0"/>
      <w:numPr>
        <w:ilvl w:val="4"/>
      </w:numPr>
    </w:pPr>
    <w:rPr>
      <w:b w:val="0"/>
    </w:rPr>
  </w:style>
  <w:style w:type="paragraph" w:customStyle="1" w:styleId="Recital1">
    <w:name w:val="Recital 1"/>
    <w:basedOn w:val="Normal"/>
    <w:rsid w:val="00464034"/>
    <w:pPr>
      <w:numPr>
        <w:numId w:val="1"/>
      </w:numPr>
      <w:jc w:val="both"/>
    </w:pPr>
    <w:rPr>
      <w:rFonts w:eastAsia="Times New Roman" w:cstheme="minorHAnsi"/>
      <w:lang w:eastAsia="en-US"/>
    </w:rPr>
  </w:style>
  <w:style w:type="paragraph" w:customStyle="1" w:styleId="Recital2">
    <w:name w:val="Recital 2"/>
    <w:basedOn w:val="Recital1"/>
    <w:qFormat/>
    <w:rsid w:val="00464034"/>
    <w:pPr>
      <w:numPr>
        <w:ilvl w:val="1"/>
      </w:numPr>
    </w:pPr>
  </w:style>
  <w:style w:type="paragraph" w:customStyle="1" w:styleId="Recital3">
    <w:name w:val="Recital 3"/>
    <w:basedOn w:val="Recital1"/>
    <w:qFormat/>
    <w:rsid w:val="00464034"/>
    <w:pPr>
      <w:numPr>
        <w:ilvl w:val="2"/>
      </w:numPr>
    </w:pPr>
  </w:style>
  <w:style w:type="paragraph" w:customStyle="1" w:styleId="Simple1">
    <w:name w:val="Simple 1"/>
    <w:basedOn w:val="ListParagraph"/>
    <w:qFormat/>
    <w:rsid w:val="00464034"/>
    <w:pPr>
      <w:numPr>
        <w:numId w:val="2"/>
      </w:numPr>
      <w:contextualSpacing w:val="0"/>
    </w:pPr>
    <w:rPr>
      <w:rFonts w:eastAsiaTheme="minorHAnsi" w:cstheme="minorHAnsi"/>
      <w:lang w:eastAsia="en-US"/>
    </w:rPr>
  </w:style>
  <w:style w:type="paragraph" w:styleId="ListParagraph">
    <w:name w:val="List Paragraph"/>
    <w:basedOn w:val="Normal"/>
    <w:uiPriority w:val="34"/>
    <w:qFormat/>
    <w:rsid w:val="00464034"/>
    <w:pPr>
      <w:ind w:left="720"/>
      <w:contextualSpacing/>
    </w:pPr>
  </w:style>
  <w:style w:type="paragraph" w:customStyle="1" w:styleId="Simple2">
    <w:name w:val="Simple 2"/>
    <w:basedOn w:val="Simple1"/>
    <w:qFormat/>
    <w:rsid w:val="00464034"/>
    <w:pPr>
      <w:numPr>
        <w:ilvl w:val="1"/>
      </w:numPr>
    </w:pPr>
  </w:style>
  <w:style w:type="paragraph" w:customStyle="1" w:styleId="Simple3">
    <w:name w:val="Simple 3"/>
    <w:basedOn w:val="Simple1"/>
    <w:qFormat/>
    <w:rsid w:val="00464034"/>
    <w:pPr>
      <w:numPr>
        <w:ilvl w:val="2"/>
      </w:numPr>
    </w:pPr>
  </w:style>
  <w:style w:type="paragraph" w:customStyle="1" w:styleId="Simple4">
    <w:name w:val="Simple 4"/>
    <w:basedOn w:val="Simple3"/>
    <w:qFormat/>
    <w:rsid w:val="00464034"/>
    <w:pPr>
      <w:numPr>
        <w:ilvl w:val="3"/>
      </w:numPr>
    </w:pPr>
  </w:style>
  <w:style w:type="paragraph" w:styleId="Header">
    <w:name w:val="header"/>
    <w:basedOn w:val="Normal"/>
    <w:link w:val="HeaderChar"/>
    <w:uiPriority w:val="99"/>
    <w:unhideWhenUsed/>
    <w:rsid w:val="00BC2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42D"/>
  </w:style>
  <w:style w:type="paragraph" w:styleId="Footer">
    <w:name w:val="footer"/>
    <w:basedOn w:val="Normal"/>
    <w:link w:val="FooterChar"/>
    <w:uiPriority w:val="99"/>
    <w:unhideWhenUsed/>
    <w:rsid w:val="00BC2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ommAr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d1p1="http://schemas.datacontract.org/2004/07/System.Collections.Generic" xmlns:i="http://www.w3.org/2001/XMLSchema-instance" xmlns="http://schemas.onelaw.co.nz/office/2013/03/{ABE9CD5C-8F1A-4964-8A17-32B6882D22DD}/">
  <d1p1:KeyValuePairOfstringstring>
    <d1p1:key>Document Id</d1p1:key>
    <d1p1:value>132</d1p1:value>
  </d1p1:KeyValuePairOfstringstring>
  <d1p1:KeyValuePairOfstringstring>
    <d1p1:key>Document Name</d1p1:key>
    <d1p1:value>Blank Document</d1p1:value>
  </d1p1:KeyValuePairOfstringstring>
  <d1p1:KeyValuePairOfstringstring>
    <d1p1:key>Filed</d1p1:key>
    <d1p1:value i:nil="true"/>
  </d1p1:KeyValuePairOfstringstring>
  <d1p1:KeyValuePairOfstringstring>
    <d1p1:key>Client Number</d1p1:key>
    <d1p1:value i:nil="true"/>
  </d1p1:KeyValuePairOfstringstring>
  <d1p1:KeyValuePairOfstringstring>
    <d1p1:key>Matter Number</d1p1:key>
    <d1p1:value/>
  </d1p1:KeyValuePairOfstringstring>
</MetaData>
</file>

<file path=customXml/item2.xml><?xml version="1.0" encoding="utf-8"?>
<DocumentMetaData xmlns:xsi="http://www.w3.org/2001/XMLSchema-instance" xmlns:xsd="http://www.w3.org/2001/XMLSchema" xmlns="urn:documentMetaData-schema">
  <FirmId>eb051b22-2632-4757-96d5-b314a6616d71</FirmId>
  <DocumentId>4004014</DocumentId>
  <CreationDateTime>2023-03-24T14:29:03.6729584+13:00</CreationDateTime>
  <LastUpdatedDateTime>0001-01-01T00:00:00</LastUpdatedDateTime>
  <DocumentDate>2023-03-24</DocumentDate>
  <DocumentName/>
  <DocumentType>Blank Document</DocumentType>
  <WellKnownDocumentType>WordDocument</WellKnownDocumentType>
  <TemplateId>00000000-0000-0000-0000-000000000000</TemplateId>
  <Operator>
    <UserId>28508161</UserId>
    <Party>
      <PartyId>28409857</PartyId>
      <FullName>OneLaw Training</FullName>
      <MailingName/>
      <Salutation/>
      <Occupation/>
      <ClientId/>
      <ClientNumber/>
      <PhysicalAddress>
        <Lines>
          <Line/>
        </Lines>
        <MultiLine/>
        <Line1/>
        <SingleLine/>
        <SingleLineCsv/>
        <PostCode/>
      </PhysicalAddress>
      <PostalAddress>
        <Lines>
          <Line/>
        </Lines>
        <MultiLine/>
        <Line1/>
        <SingleLine/>
        <SingleLineCsv/>
        <PostCode/>
      </PostalAddress>
      <Email>olt@srblaw.co.nz</Email>
      <Phone/>
      <Fax/>
      <IsTaxResident>false</IsTaxResident>
      <GstNumber/>
    </Party>
    <UserName>OLT</UserName>
    <Initials>OLT</Initials>
    <OfficePartyId>65537</OfficePartyId>
    <OfficeName>AWA-1</OfficeName>
    <AuthorRole>Trainer</AuthorRole>
  </Operator>
  <Author>
    <UserId>28508161</UserId>
    <Party>
      <PartyId>28409857</PartyId>
      <FullName>OneLaw Training</FullName>
      <MailingName/>
      <Salutation/>
      <Occupation/>
      <ClientId/>
      <ClientNumber/>
      <PhysicalAddress>
        <Lines>
          <Line/>
        </Lines>
        <MultiLine/>
        <Line1/>
        <SingleLine/>
        <SingleLineCsv/>
        <PostCode/>
      </PhysicalAddress>
      <PostalAddress>
        <Lines>
          <Line/>
        </Lines>
        <MultiLine/>
        <Line1/>
        <SingleLine/>
        <SingleLineCsv/>
        <PostCode/>
      </PostalAddress>
      <Email>olt@srblaw.co.nz</Email>
      <Phone/>
      <Fax/>
      <IsTaxResident>false</IsTaxResident>
      <GstNumber/>
    </Party>
    <UserName>OLT</UserName>
    <Initials>OLT</Initials>
    <OfficePartyId>65537</OfficePartyId>
    <OfficeName>AWA-1</OfficeName>
    <AuthorRole>Trainer</AuthorRole>
  </Author>
  <Office>
    <PartyId>65537</PartyId>
    <FullName>AWA-1</FullName>
    <MailingName/>
    <Salutation/>
    <Occupation/>
    <ClientId/>
    <ClientNumber/>
    <PhysicalAddress>
      <Lines>
        <Line>PO Box 39</Line>
        <Line>Christchurch</Line>
      </Lines>
      <MultiLine>PO Box 39
Christchurch</MultiLine>
      <Line1>PO Box 39</Line1>
      <Line2>Christchurch</Line2>
      <SingleLine>PO Box 39 Christchurch</SingleLine>
      <SingleLineCsv>PO Box 39, Christchurch</SingleLineCsv>
      <PostCode>8140</PostCode>
    </PhysicalAddress>
    <PostalAddress>
      <Lines>
        <Line>PO Box 39</Line>
        <Line>Christchurch</Line>
      </Lines>
      <MultiLine>PO Box 39
Christchurch</MultiLine>
      <Line1>PO Box 39</Line1>
      <Line2>Christchurch</Line2>
      <SingleLine>PO Box 39 Christchurch</SingleLine>
      <SingleLineCsv>PO Box 39, Christchurch</SingleLineCsv>
      <PostCode>8140</PostCode>
    </PostalAddress>
    <Email/>
    <Phone/>
    <Fax/>
    <IsTaxResident>true</IsTaxResident>
    <GstNumber/>
  </Office>
  <Client>
    <PartyId>11976379</PartyId>
    <FullName>SRB Firm</FullName>
    <MailingName>SRB Firm</MailingName>
    <Salutation>Sir</Salutation>
    <Occupation/>
    <ClientId>11398550</ClientId>
    <ClientNumber>182624</ClientNumber>
    <PhysicalAddress>
      <Lines>
        <Line/>
      </Lines>
      <MultiLine/>
      <Line1/>
      <SingleLine/>
      <SingleLineCsv/>
      <PostCode/>
    </PhysicalAddress>
    <PostalAddress>
      <Lines>
        <Line>130 Kilmore Street</Line>
        <Line>Christchurch Central</Line>
        <Line>Christchurch 8011</Line>
      </Lines>
      <MultiLine>130 Kilmore Street
Christchurch Central
Christchurch 8011</MultiLine>
      <Line1>130 Kilmore Street</Line1>
      <Line2>Christchurch Central</Line2>
      <Line3>Christchurch 8011</Line3>
      <SingleLine>130 Kilmore Street Christchurch Central Christchurch 8011</SingleLine>
      <SingleLineCsv>130 Kilmore Street, Christchurch Central, Christchurch 8011</SingleLineCsv>
      <PostCode/>
    </PostalAddress>
    <Email>jenny.stirling@srblaw.co.nz</Email>
    <Phone/>
    <Fax/>
    <IsTaxResident>true</IsTaxResident>
    <GstNumber/>
  </Client>
  <Matter>
    <PartyId>11976379</PartyId>
    <ClientId>11398550</ClientId>
    <MatterId>12644789</MatterId>
    <Name>Systems</Name>
    <ClientNumber>182624</ClientNumber>
    <MatterNumber>4</MatterNumber>
    <IsConfidential>false</IsConfidential>
    <EstimatedFees/>
    <EstimatedCostsAndDisbursements/>
  </Matter>
  <Recipient>
    <PartyId/>
    <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BankAccountNumber/>
    <BankAccountName/>
  </Recipient>
</DocumentMetaData>
</file>

<file path=customXml/itemProps1.xml><?xml version="1.0" encoding="utf-8"?>
<ds:datastoreItem xmlns:ds="http://schemas.openxmlformats.org/officeDocument/2006/customXml" ds:itemID="{A4DD6E35-D73E-455A-A0C7-3745111D2286}">
  <ds:schemaRefs>
    <ds:schemaRef ds:uri="http://schemas.datacontract.org/2004/07/System.Collections.Generic"/>
    <ds:schemaRef ds:uri="http://schemas.onelaw.co.nz/office/2013/03/{ABE9CD5C-8F1A-4964-8A17-32B6882D22DD}/"/>
  </ds:schemaRefs>
</ds:datastoreItem>
</file>

<file path=customXml/itemProps2.xml><?xml version="1.0" encoding="utf-8"?>
<ds:datastoreItem xmlns:ds="http://schemas.openxmlformats.org/officeDocument/2006/customXml" ds:itemID="{F235E64D-6E84-4E22-9C5F-8591E08FF8B0}">
  <ds:schemaRefs>
    <ds:schemaRef ds:uri="http://www.w3.org/2001/XMLSchema"/>
    <ds:schemaRef ds:uri="urn:documentMetaData-schema"/>
  </ds:schemaRefs>
</ds:datastoreItem>
</file>

<file path=docProps/app.xml><?xml version="1.0" encoding="utf-8"?>
<Properties xmlns="http://schemas.openxmlformats.org/officeDocument/2006/extended-properties" xmlns:vt="http://schemas.openxmlformats.org/officeDocument/2006/docPropsVTypes">
  <Template>Blank.dotx</Template>
  <TotalTime>8</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Cameron</dc:creator>
  <cp:keywords/>
  <dc:description/>
  <cp:lastModifiedBy>Lucy Cameron</cp:lastModifiedBy>
  <cp:revision>2</cp:revision>
  <dcterms:created xsi:type="dcterms:W3CDTF">2024-12-02T22:20:00Z</dcterms:created>
  <dcterms:modified xsi:type="dcterms:W3CDTF">2024-12-02T22:28:00Z</dcterms:modified>
</cp:coreProperties>
</file>